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D431C" w14:paraId="1BFAE59D" w14:textId="2AAA4BD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E074CF9" w14:paraId="0A617A90" w14:textId="77777777">
        <w:tc>
          <w:tcPr>
            <w:tcW w:w="2425" w:type="dxa"/>
            <w:tcMar/>
          </w:tcPr>
          <w:p w:rsidRPr="00F87D95" w:rsidR="00793A4A" w:rsidP="00793A4A" w:rsidRDefault="00793A4A" w14:paraId="6CF24088" w14:textId="5012D39E">
            <w:pPr>
              <w:rPr>
                <w:sz w:val="20"/>
                <w:szCs w:val="20"/>
              </w:rPr>
            </w:pPr>
            <w:r w:rsidRPr="4E074CF9" w:rsidR="00793A4A">
              <w:rPr>
                <w:sz w:val="20"/>
                <w:szCs w:val="20"/>
              </w:rPr>
              <w:t>Control ID</w:t>
            </w:r>
            <w:r w:rsidRPr="4E074CF9" w:rsidR="00C352EB">
              <w:rPr>
                <w:sz w:val="20"/>
                <w:szCs w:val="20"/>
              </w:rPr>
              <w:t xml:space="preserve">: </w:t>
            </w:r>
            <w:r w:rsidRPr="4E074CF9" w:rsidR="1F2542D6">
              <w:rPr>
                <w:sz w:val="20"/>
                <w:szCs w:val="20"/>
              </w:rPr>
              <w:t>CP-07</w:t>
            </w:r>
          </w:p>
        </w:tc>
        <w:tc>
          <w:tcPr>
            <w:tcW w:w="6925" w:type="dxa"/>
            <w:tcMar/>
          </w:tcPr>
          <w:p w:rsidR="00793A4A" w:rsidP="00793A4A" w:rsidRDefault="00793A4A" w14:paraId="24A288A9" w14:textId="77777777"/>
        </w:tc>
      </w:tr>
      <w:tr w:rsidR="00C352EB" w:rsidTr="4E074CF9" w14:paraId="621F6F9E" w14:textId="77777777">
        <w:tc>
          <w:tcPr>
            <w:tcW w:w="2425" w:type="dxa"/>
            <w:tcMar/>
          </w:tcPr>
          <w:p w:rsidR="4E074CF9" w:rsidP="4E074CF9" w:rsidRDefault="4E074CF9" w14:paraId="1066D0CC" w14:textId="1310BE5A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E074CF9" w:rsidR="4E074CF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Description:</w:t>
            </w:r>
          </w:p>
          <w:p w:rsidR="4E074CF9" w:rsidP="4E074CF9" w:rsidRDefault="4E074CF9" w14:paraId="6E36C3C6" w14:textId="66C37C14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4F041E25" w:rsidP="4E074CF9" w:rsidRDefault="4F041E25" w14:paraId="3CC39AD0" w14:textId="3E03283F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E074CF9" w:rsidR="4F041E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Establish an alternate processing site, including necessary agreements to permit the transfer and resumption of [Assignment: organization-defined system operations] for essential mission and business functions within [Assignment: organization-defined time period consistent with recovery time and recovery point objectives] when the primary processing capabilities are unavailable;</w:t>
            </w:r>
          </w:p>
        </w:tc>
        <w:tc>
          <w:tcPr>
            <w:tcW w:w="6925" w:type="dxa"/>
            <w:tcMar/>
          </w:tcPr>
          <w:p w:rsidR="4E074CF9" w:rsidP="4E074CF9" w:rsidRDefault="4E074CF9" w14:paraId="308CCA8B" w14:textId="7ACDAAF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4E074CF9" w:rsidP="4E074CF9" w:rsidRDefault="4E074CF9" w14:paraId="687D5D98" w14:textId="6E882784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E074CF9" w:rsidR="4E074CF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Control Implementation Statement; evidence references</w:t>
            </w:r>
          </w:p>
        </w:tc>
      </w:tr>
      <w:tr w:rsidR="00C352EB" w:rsidTr="4E074CF9" w14:paraId="3FFB6138" w14:textId="77777777">
        <w:tc>
          <w:tcPr>
            <w:tcW w:w="2425" w:type="dxa"/>
            <w:tcMar/>
          </w:tcPr>
          <w:p w:rsidR="131DF7FA" w:rsidP="4E074CF9" w:rsidRDefault="131DF7FA" w14:paraId="6DA7CD26" w14:textId="4BFBED0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E074CF9" w:rsidR="131DF7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 xml:space="preserve">Make available at the alternate processing site, the equipment and supplies </w:t>
            </w:r>
            <w:r w:rsidRPr="4E074CF9" w:rsidR="131DF7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required</w:t>
            </w:r>
            <w:r w:rsidRPr="4E074CF9" w:rsidR="131DF7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 xml:space="preserve"> to transfer and resume operations or put contracts in place to support delivery to the site within the organization-defined </w:t>
            </w:r>
            <w:r w:rsidRPr="4E074CF9" w:rsidR="131DF7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time period</w:t>
            </w:r>
            <w:r w:rsidRPr="4E074CF9" w:rsidR="131DF7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 xml:space="preserve"> for transfer and resumption;</w:t>
            </w:r>
          </w:p>
        </w:tc>
        <w:tc>
          <w:tcPr>
            <w:tcW w:w="6925" w:type="dxa"/>
            <w:tcMar/>
          </w:tcPr>
          <w:p w:rsidR="4E074CF9" w:rsidP="4E074CF9" w:rsidRDefault="4E074CF9" w14:paraId="2BA24396" w14:textId="493FEBFE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4E074CF9" w:rsidTr="4E074CF9" w14:paraId="0F741DAA">
        <w:trPr>
          <w:trHeight w:val="300"/>
        </w:trPr>
        <w:tc>
          <w:tcPr>
            <w:tcW w:w="2425" w:type="dxa"/>
            <w:tcMar>
              <w:left w:w="105" w:type="dxa"/>
              <w:right w:w="105" w:type="dxa"/>
            </w:tcMar>
            <w:vAlign w:val="top"/>
          </w:tcPr>
          <w:p w:rsidR="131DF7FA" w:rsidP="4E074CF9" w:rsidRDefault="131DF7FA" w14:paraId="74C8E0AF" w14:textId="72C46B51">
            <w:pPr>
              <w:pStyle w:val="ListParagraph"/>
              <w:numPr>
                <w:ilvl w:val="0"/>
                <w:numId w:val="3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E074CF9" w:rsidR="131DF7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Provide controls at the alternate processing site that are equivalent to those at the primary site.</w:t>
            </w:r>
          </w:p>
        </w:tc>
        <w:tc>
          <w:tcPr>
            <w:tcW w:w="6925" w:type="dxa"/>
            <w:tcMar>
              <w:left w:w="105" w:type="dxa"/>
              <w:right w:w="105" w:type="dxa"/>
            </w:tcMar>
            <w:vAlign w:val="top"/>
          </w:tcPr>
          <w:p w:rsidR="4E074CF9" w:rsidP="4E074CF9" w:rsidRDefault="4E074CF9" w14:paraId="5D9EDAFE" w14:textId="5F17967A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Pr="00793A4A" w:rsidR="00793A4A" w:rsidP="00793A4A" w:rsidRDefault="00793A4A" w14:paraId="432B0A66" w14:textId="68C98E6A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BC2" w:rsidP="0085581F" w:rsidRDefault="00FE2BC2" w14:paraId="5CBC4223" w14:textId="77777777">
      <w:pPr>
        <w:spacing w:after="0" w:line="240" w:lineRule="auto"/>
      </w:pPr>
      <w:r>
        <w:separator/>
      </w:r>
    </w:p>
  </w:endnote>
  <w:endnote w:type="continuationSeparator" w:id="0">
    <w:p w:rsidR="00FE2BC2" w:rsidP="0085581F" w:rsidRDefault="00FE2BC2" w14:paraId="2F7D4D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BC2" w:rsidP="0085581F" w:rsidRDefault="00FE2BC2" w14:paraId="646CEEE6" w14:textId="77777777">
      <w:pPr>
        <w:spacing w:after="0" w:line="240" w:lineRule="auto"/>
      </w:pPr>
      <w:r>
        <w:separator/>
      </w:r>
    </w:p>
  </w:footnote>
  <w:footnote w:type="continuationSeparator" w:id="0">
    <w:p w:rsidR="00FE2BC2" w:rsidP="0085581F" w:rsidRDefault="00FE2BC2" w14:paraId="5ADC8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09FEAAC4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4DB8F286" w:rsidR="4DB8F286">
      <w:rPr>
        <w:rFonts w:ascii="Bahnschrift" w:hAnsi="Bahnschrift"/>
        <w:color w:val="auto"/>
        <w:sz w:val="40"/>
        <w:szCs w:val="40"/>
      </w:rPr>
      <w:t xml:space="preserve"> </w:t>
    </w:r>
    <w:r w:rsidRPr="4DB8F286" w:rsidR="4DB8F286">
      <w:rPr>
        <w:rFonts w:ascii="Bahnschrift" w:hAnsi="Bahnschrift"/>
        <w:color w:val="auto"/>
        <w:sz w:val="40"/>
        <w:szCs w:val="40"/>
      </w:rPr>
      <w:t>GovRAMP</w:t>
    </w:r>
    <w:r w:rsidRPr="4DB8F286" w:rsidR="4DB8F286">
      <w:rPr>
        <w:rFonts w:ascii="Bahnschrift" w:hAnsi="Bahnschrift"/>
        <w:color w:val="auto"/>
        <w:sz w:val="40"/>
        <w:szCs w:val="40"/>
      </w:rPr>
      <w:t xml:space="preserve"> </w:t>
    </w:r>
    <w:r w:rsidRPr="4DB8F286" w:rsidR="4DB8F286">
      <w:rPr>
        <w:rFonts w:ascii="Bahnschrift" w:hAnsi="Bahnschrift"/>
        <w:color w:val="auto"/>
        <w:sz w:val="40"/>
        <w:szCs w:val="40"/>
      </w:rPr>
      <w:t xml:space="preserve">Core </w:t>
    </w:r>
    <w:r w:rsidRPr="4DB8F286" w:rsidR="4DB8F286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2">
    <w:nsid w:val="41537ad"/>
    <w:multiLevelType xmlns:w="http://schemas.openxmlformats.org/wordprocessingml/2006/main" w:val="hybridMultilevel"/>
    <w:lvl xmlns:w="http://schemas.openxmlformats.org/wordprocessingml/2006/main" w:ilvl="0">
      <w:start w:val="3"/>
      <w:numFmt w:val="lowerLetter"/>
      <w:lvlText w:val="%1.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143cbeec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2"/>
  </w:num>
  <w:num w:numId="2">
    <w:abstractNumId w:val="1"/>
  </w: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110B0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AD431C"/>
    <w:rsid w:val="00B926F5"/>
    <w:rsid w:val="00C352EB"/>
    <w:rsid w:val="00F51DD1"/>
    <w:rsid w:val="00F87D95"/>
    <w:rsid w:val="00FA75BE"/>
    <w:rsid w:val="00FC3082"/>
    <w:rsid w:val="00FE2BC2"/>
    <w:rsid w:val="131DF7FA"/>
    <w:rsid w:val="1B7C7FE0"/>
    <w:rsid w:val="1F2542D6"/>
    <w:rsid w:val="3077CAF9"/>
    <w:rsid w:val="34196171"/>
    <w:rsid w:val="422A4C1A"/>
    <w:rsid w:val="4DB8F286"/>
    <w:rsid w:val="4E074CF9"/>
    <w:rsid w:val="4F041E25"/>
    <w:rsid w:val="564DAB19"/>
    <w:rsid w:val="578D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B54A-DC34-4B28-B4C6-8577867C171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5125BB1-CE28-4BE3-9003-BE3223A4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CB3126-CAB8-4A20-B957-F861DC02B520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15</cp:revision>
  <dcterms:created xsi:type="dcterms:W3CDTF">2023-12-14T18:25:00Z</dcterms:created>
  <dcterms:modified xsi:type="dcterms:W3CDTF">2025-07-09T18:36:30Z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